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CE87F" w14:textId="77777777" w:rsidR="00927EA0" w:rsidRDefault="00BF5F42">
      <w:pPr>
        <w:spacing w:after="0" w:line="240" w:lineRule="auto"/>
        <w:jc w:val="center"/>
        <w:rPr>
          <w:rFonts w:ascii="Cambria" w:eastAsia="Cambria" w:hAnsi="Cambria" w:cs="Cambria"/>
          <w:color w:val="0070C0"/>
          <w:sz w:val="28"/>
          <w:szCs w:val="28"/>
        </w:rPr>
      </w:pPr>
      <w:r>
        <w:rPr>
          <w:rFonts w:ascii="Cambria" w:eastAsia="Cambria" w:hAnsi="Cambria" w:cs="Cambria"/>
          <w:color w:val="0070C0"/>
        </w:rPr>
        <w:t xml:space="preserve">INTERREGIONAL NON-GOVERNMENTAL ORGANISATION </w:t>
      </w:r>
    </w:p>
    <w:p w14:paraId="06E0342B" w14:textId="77777777" w:rsidR="00927EA0" w:rsidRDefault="00BF5F42">
      <w:pPr>
        <w:pBdr>
          <w:bottom w:val="single" w:sz="4" w:space="1" w:color="000000"/>
        </w:pBdr>
        <w:spacing w:after="0" w:line="240" w:lineRule="auto"/>
        <w:jc w:val="center"/>
        <w:rPr>
          <w:rFonts w:ascii="Cambria" w:eastAsia="Cambria" w:hAnsi="Cambria" w:cs="Cambria"/>
          <w:color w:val="0070C0"/>
          <w:sz w:val="28"/>
          <w:szCs w:val="28"/>
        </w:rPr>
      </w:pPr>
      <w:r>
        <w:rPr>
          <w:rFonts w:ascii="Cambria" w:eastAsia="Cambria" w:hAnsi="Cambria" w:cs="Cambria"/>
          <w:color w:val="0070C0"/>
        </w:rPr>
        <w:t>THE READING ASSOCIATION OF RUSSIA</w:t>
      </w:r>
    </w:p>
    <w:p w14:paraId="623E1BE7" w14:textId="77777777" w:rsidR="00927EA0" w:rsidRDefault="00927EA0">
      <w:pPr>
        <w:pBdr>
          <w:bottom w:val="single" w:sz="4" w:space="1" w:color="000000"/>
        </w:pBdr>
        <w:spacing w:after="0" w:line="240" w:lineRule="auto"/>
        <w:jc w:val="center"/>
        <w:rPr>
          <w:rFonts w:ascii="Cambria" w:eastAsia="Cambria" w:hAnsi="Cambria" w:cs="Cambria"/>
          <w:color w:val="0070C0"/>
          <w:sz w:val="6"/>
          <w:szCs w:val="6"/>
        </w:rPr>
      </w:pPr>
    </w:p>
    <w:p w14:paraId="03C1554C" w14:textId="77777777" w:rsidR="00927EA0" w:rsidRDefault="00BF5F42">
      <w:pPr>
        <w:spacing w:after="0" w:line="240" w:lineRule="auto"/>
        <w:jc w:val="center"/>
        <w:rPr>
          <w:rFonts w:ascii="Times New Roman" w:eastAsia="Times New Roman" w:hAnsi="Times New Roman" w:cs="Times New Roman"/>
          <w:color w:val="0070C0"/>
        </w:rPr>
      </w:pPr>
      <w:r>
        <w:rPr>
          <w:rFonts w:ascii="Times New Roman" w:eastAsia="Times New Roman" w:hAnsi="Times New Roman" w:cs="Times New Roman"/>
          <w:color w:val="0070C0"/>
        </w:rPr>
        <w:t xml:space="preserve">rusreadorg.ru                             </w:t>
      </w:r>
    </w:p>
    <w:p w14:paraId="2AF1F910" w14:textId="77777777" w:rsidR="00927EA0" w:rsidRDefault="00BF5F42">
      <w:pPr>
        <w:pBdr>
          <w:bottom w:val="single" w:sz="4" w:space="1" w:color="000000"/>
        </w:pBdr>
        <w:spacing w:after="0" w:line="240" w:lineRule="auto"/>
        <w:jc w:val="center"/>
        <w:rPr>
          <w:rFonts w:ascii="Cambria" w:eastAsia="Cambria" w:hAnsi="Cambria" w:cs="Cambria"/>
          <w:color w:val="0070C0"/>
          <w:sz w:val="44"/>
          <w:szCs w:val="44"/>
        </w:rPr>
      </w:pPr>
      <w:bookmarkStart w:id="0" w:name="_heading=h.gjdgxs" w:colFirst="0" w:colLast="0"/>
      <w:bookmarkEnd w:id="0"/>
      <w:r>
        <w:rPr>
          <w:rFonts w:ascii="Cambria" w:eastAsia="Cambria" w:hAnsi="Cambria" w:cs="Cambria"/>
          <w:color w:val="0070C0"/>
          <w:sz w:val="28"/>
          <w:szCs w:val="28"/>
        </w:rPr>
        <w:t>MARGARITA RUDOMINO ALL-RUSSIA STATE LIBRARY FOR FOREIGN LITERATURE  РУДОМИНО</w:t>
      </w:r>
    </w:p>
    <w:p w14:paraId="1FEC93FC" w14:textId="77777777" w:rsidR="00927EA0" w:rsidRDefault="00BF5F42">
      <w:pPr>
        <w:spacing w:after="0" w:line="240" w:lineRule="auto"/>
        <w:jc w:val="center"/>
        <w:rPr>
          <w:rFonts w:ascii="Times New Roman" w:eastAsia="Times New Roman" w:hAnsi="Times New Roman" w:cs="Times New Roman"/>
          <w:color w:val="0070C0"/>
        </w:rPr>
      </w:pPr>
      <w:r>
        <w:rPr>
          <w:rFonts w:ascii="Times New Roman" w:eastAsia="Times New Roman" w:hAnsi="Times New Roman" w:cs="Times New Roman"/>
          <w:color w:val="0070C0"/>
        </w:rPr>
        <w:t xml:space="preserve">libfl.ru                             </w:t>
      </w:r>
    </w:p>
    <w:p w14:paraId="51F5F4BA" w14:textId="77777777" w:rsidR="00927EA0" w:rsidRDefault="00927EA0">
      <w:pPr>
        <w:spacing w:after="0" w:line="240" w:lineRule="auto"/>
        <w:jc w:val="center"/>
        <w:rPr>
          <w:rFonts w:ascii="Times New Roman" w:eastAsia="Times New Roman" w:hAnsi="Times New Roman" w:cs="Times New Roman"/>
          <w:b/>
          <w:color w:val="366091"/>
          <w:sz w:val="32"/>
          <w:szCs w:val="32"/>
        </w:rPr>
        <w:sectPr w:rsidR="00927EA0">
          <w:pgSz w:w="11906" w:h="16838"/>
          <w:pgMar w:top="567" w:right="567" w:bottom="567" w:left="993" w:header="709" w:footer="709" w:gutter="0"/>
          <w:pgNumType w:start="1"/>
          <w:cols w:num="2" w:space="720" w:equalWidth="0">
            <w:col w:w="4813" w:space="720"/>
            <w:col w:w="4813" w:space="0"/>
          </w:cols>
        </w:sectPr>
      </w:pPr>
    </w:p>
    <w:p w14:paraId="63BA56AA" w14:textId="77777777" w:rsidR="00927EA0" w:rsidRDefault="00BF5F42">
      <w:pPr>
        <w:spacing w:after="0" w:line="240" w:lineRule="auto"/>
        <w:jc w:val="center"/>
        <w:rPr>
          <w:rFonts w:ascii="Times New Roman" w:eastAsia="Times New Roman" w:hAnsi="Times New Roman" w:cs="Times New Roman"/>
          <w:b/>
          <w:color w:val="366091"/>
          <w:sz w:val="28"/>
          <w:szCs w:val="28"/>
        </w:rPr>
      </w:pPr>
      <w:r>
        <w:rPr>
          <w:rFonts w:ascii="Times New Roman" w:eastAsia="Times New Roman" w:hAnsi="Times New Roman" w:cs="Times New Roman"/>
          <w:b/>
          <w:color w:val="366091"/>
          <w:sz w:val="28"/>
          <w:szCs w:val="28"/>
        </w:rPr>
        <w:t>Information Letter</w:t>
      </w:r>
    </w:p>
    <w:p w14:paraId="7E9BA274" w14:textId="77777777" w:rsidR="00927EA0" w:rsidRDefault="00927EA0">
      <w:pPr>
        <w:spacing w:after="120" w:line="240" w:lineRule="auto"/>
        <w:jc w:val="both"/>
        <w:rPr>
          <w:rFonts w:ascii="Times New Roman" w:eastAsia="Times New Roman" w:hAnsi="Times New Roman" w:cs="Times New Roman"/>
          <w:sz w:val="28"/>
          <w:szCs w:val="28"/>
        </w:rPr>
      </w:pPr>
    </w:p>
    <w:p w14:paraId="33B42F28"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Distinguished colleagues,</w:t>
      </w:r>
    </w:p>
    <w:p w14:paraId="2281E47B"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are pleased to invite you to The 8th International scientific and practical сonference 'Reading and Literacy in Education and Culture: a regional perspective and global vision'.  </w:t>
      </w:r>
    </w:p>
    <w:p w14:paraId="6C26F914"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conference will take place in the hybrid format with in person and on</w:t>
      </w:r>
      <w:r>
        <w:rPr>
          <w:rFonts w:ascii="Times New Roman" w:eastAsia="Times New Roman" w:hAnsi="Times New Roman" w:cs="Times New Roman"/>
          <w:sz w:val="28"/>
          <w:szCs w:val="28"/>
        </w:rPr>
        <w:t xml:space="preserve">line participation.  </w:t>
      </w:r>
    </w:p>
    <w:p w14:paraId="2E2E6F86" w14:textId="77777777" w:rsidR="00927EA0" w:rsidRDefault="00927EA0">
      <w:pPr>
        <w:spacing w:after="120" w:line="360" w:lineRule="auto"/>
        <w:jc w:val="both"/>
        <w:rPr>
          <w:rFonts w:ascii="Times New Roman" w:eastAsia="Times New Roman" w:hAnsi="Times New Roman" w:cs="Times New Roman"/>
          <w:b/>
          <w:sz w:val="28"/>
          <w:szCs w:val="28"/>
        </w:rPr>
      </w:pPr>
    </w:p>
    <w:p w14:paraId="467939E0" w14:textId="77777777" w:rsidR="00927EA0" w:rsidRDefault="00BF5F42">
      <w:pPr>
        <w:spacing w:after="12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Background  </w:t>
      </w:r>
    </w:p>
    <w:p w14:paraId="33AE2A2E"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 25 years, the conferences 'Reading and Literacy in Education and Culture' have been a forum for discussing key issues in the area of reading and literacy, have helped share findings in this sphere, and examine new re</w:t>
      </w:r>
      <w:r>
        <w:rPr>
          <w:rFonts w:ascii="Times New Roman" w:eastAsia="Times New Roman" w:hAnsi="Times New Roman" w:cs="Times New Roman"/>
          <w:sz w:val="28"/>
          <w:szCs w:val="28"/>
        </w:rPr>
        <w:t xml:space="preserve">ading practices. Our effort to share the best practices helps to enhance the work of the Association's regional divisions – schools, universities, and libraries – by applying the solutions on the ground, while also enriching our common experience.  </w:t>
      </w:r>
    </w:p>
    <w:p w14:paraId="3B94FE74"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20</w:t>
      </w:r>
      <w:r>
        <w:rPr>
          <w:rFonts w:ascii="Times New Roman" w:eastAsia="Times New Roman" w:hAnsi="Times New Roman" w:cs="Times New Roman"/>
          <w:sz w:val="28"/>
          <w:szCs w:val="28"/>
        </w:rPr>
        <w:t xml:space="preserve">22 Conference will do more to promote reading among people of different age groups at the regional, national and international levels, and to set forth new principles that conflate regional needs with a global vision. </w:t>
      </w:r>
    </w:p>
    <w:p w14:paraId="5DF27684"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conference will address a wide ra</w:t>
      </w:r>
      <w:r>
        <w:rPr>
          <w:rFonts w:ascii="Times New Roman" w:eastAsia="Times New Roman" w:hAnsi="Times New Roman" w:cs="Times New Roman"/>
          <w:sz w:val="28"/>
          <w:szCs w:val="28"/>
        </w:rPr>
        <w:t xml:space="preserve">nge of issues: </w:t>
      </w:r>
    </w:p>
    <w:p w14:paraId="39B97FA5"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regional </w:t>
      </w:r>
      <w:r>
        <w:rPr>
          <w:rFonts w:ascii="Times New Roman" w:eastAsia="Times New Roman" w:hAnsi="Times New Roman" w:cs="Times New Roman"/>
          <w:sz w:val="28"/>
          <w:szCs w:val="28"/>
        </w:rPr>
        <w:t xml:space="preserve">constituent </w:t>
      </w:r>
      <w:r>
        <w:rPr>
          <w:rFonts w:ascii="Times New Roman" w:eastAsia="Times New Roman" w:hAnsi="Times New Roman" w:cs="Times New Roman"/>
          <w:color w:val="000000"/>
          <w:sz w:val="28"/>
          <w:szCs w:val="28"/>
        </w:rPr>
        <w:t xml:space="preserve">in school and tertiary education, and its effect on readers' practices; </w:t>
      </w:r>
    </w:p>
    <w:p w14:paraId="1C62A0AE"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regional </w:t>
      </w:r>
      <w:r>
        <w:rPr>
          <w:rFonts w:ascii="Times New Roman" w:eastAsia="Times New Roman" w:hAnsi="Times New Roman" w:cs="Times New Roman"/>
          <w:sz w:val="28"/>
          <w:szCs w:val="28"/>
        </w:rPr>
        <w:t xml:space="preserve">constituent </w:t>
      </w:r>
      <w:r>
        <w:rPr>
          <w:rFonts w:ascii="Times New Roman" w:eastAsia="Times New Roman" w:hAnsi="Times New Roman" w:cs="Times New Roman"/>
          <w:color w:val="000000"/>
          <w:sz w:val="28"/>
          <w:szCs w:val="28"/>
        </w:rPr>
        <w:t xml:space="preserve">in the work of libraries in combination and/or in conjunction with nation-wide programmes;  </w:t>
      </w:r>
    </w:p>
    <w:p w14:paraId="0EBAEE7C"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modern global challenges and questions of reader agency; </w:t>
      </w:r>
    </w:p>
    <w:p w14:paraId="345BB229"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measures to support reading in the Russian language in the regions;  </w:t>
      </w:r>
    </w:p>
    <w:p w14:paraId="3CCEA1B1"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promotion of the Russian language a</w:t>
      </w:r>
      <w:r>
        <w:rPr>
          <w:rFonts w:ascii="Times New Roman" w:eastAsia="Times New Roman" w:hAnsi="Times New Roman" w:cs="Times New Roman"/>
          <w:color w:val="000000"/>
          <w:sz w:val="28"/>
          <w:szCs w:val="28"/>
        </w:rPr>
        <w:t xml:space="preserve">nd literature abroad; </w:t>
      </w:r>
    </w:p>
    <w:p w14:paraId="5E1DD220"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reading in small peoples' languages;</w:t>
      </w:r>
    </w:p>
    <w:p w14:paraId="3912F2C3"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interdisciplinary reading research; </w:t>
      </w:r>
    </w:p>
    <w:p w14:paraId="26F7F437" w14:textId="77777777" w:rsidR="00927EA0" w:rsidRDefault="00BF5F42">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reading and Digital Humanities; </w:t>
      </w:r>
    </w:p>
    <w:p w14:paraId="11609F80" w14:textId="77777777" w:rsidR="00927EA0" w:rsidRDefault="00BF5F42">
      <w:pPr>
        <w:numPr>
          <w:ilvl w:val="0"/>
          <w:numId w:val="2"/>
        </w:numPr>
        <w:pBdr>
          <w:top w:val="nil"/>
          <w:left w:val="nil"/>
          <w:bottom w:val="nil"/>
          <w:right w:val="nil"/>
          <w:between w:val="nil"/>
        </w:pBdr>
        <w:spacing w:after="12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reading pragmatics</w:t>
      </w:r>
      <w:r>
        <w:rPr>
          <w:rFonts w:ascii="Times New Roman" w:eastAsia="Times New Roman" w:hAnsi="Times New Roman" w:cs="Times New Roman"/>
          <w:color w:val="000000"/>
          <w:sz w:val="28"/>
          <w:szCs w:val="28"/>
        </w:rPr>
        <w:t xml:space="preserve"> and communications in the modern world. </w:t>
      </w:r>
    </w:p>
    <w:p w14:paraId="42D3A9D9"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would like to engage stakeholders in the area of reading and li</w:t>
      </w:r>
      <w:r>
        <w:rPr>
          <w:rFonts w:ascii="Times New Roman" w:eastAsia="Times New Roman" w:hAnsi="Times New Roman" w:cs="Times New Roman"/>
          <w:sz w:val="28"/>
          <w:szCs w:val="28"/>
        </w:rPr>
        <w:t xml:space="preserve">teracy representing public and civil society organization of the Russian Federation and the CIS nations, as well as young researchers interested in these questions. </w:t>
      </w:r>
    </w:p>
    <w:p w14:paraId="4D27B416" w14:textId="77777777" w:rsidR="00927EA0" w:rsidRDefault="00BF5F42">
      <w:pPr>
        <w:spacing w:after="12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Venue </w:t>
      </w:r>
    </w:p>
    <w:p w14:paraId="07348A0F"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Conference will take place in </w:t>
      </w:r>
      <w:r>
        <w:rPr>
          <w:rFonts w:ascii="Times New Roman" w:eastAsia="Times New Roman" w:hAnsi="Times New Roman" w:cs="Times New Roman"/>
          <w:b/>
          <w:sz w:val="28"/>
          <w:szCs w:val="28"/>
        </w:rPr>
        <w:t xml:space="preserve">Margarita Rudomino All-Russian State Library for </w:t>
      </w:r>
      <w:r>
        <w:rPr>
          <w:rFonts w:ascii="Times New Roman" w:eastAsia="Times New Roman" w:hAnsi="Times New Roman" w:cs="Times New Roman"/>
          <w:b/>
          <w:sz w:val="28"/>
          <w:szCs w:val="28"/>
        </w:rPr>
        <w:t>Foreign Languages</w:t>
      </w:r>
      <w:r>
        <w:rPr>
          <w:rFonts w:ascii="Times New Roman" w:eastAsia="Times New Roman" w:hAnsi="Times New Roman" w:cs="Times New Roman"/>
          <w:sz w:val="28"/>
          <w:szCs w:val="28"/>
        </w:rPr>
        <w:t xml:space="preserve">, Moscow Nikoloyamskaya Street, building 1. </w:t>
      </w:r>
    </w:p>
    <w:p w14:paraId="05A121AB" w14:textId="77777777" w:rsidR="00927EA0" w:rsidRDefault="00927EA0">
      <w:pPr>
        <w:spacing w:after="120" w:line="360" w:lineRule="auto"/>
        <w:jc w:val="both"/>
        <w:rPr>
          <w:rFonts w:ascii="Times New Roman" w:eastAsia="Times New Roman" w:hAnsi="Times New Roman" w:cs="Times New Roman"/>
          <w:sz w:val="28"/>
          <w:szCs w:val="28"/>
        </w:rPr>
      </w:pPr>
    </w:p>
    <w:p w14:paraId="119543CA" w14:textId="77777777" w:rsidR="00927EA0" w:rsidRDefault="00BF5F42">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participation in the conference is free of charge.  Traveling expenses will be covered by the participant's organization. </w:t>
      </w:r>
    </w:p>
    <w:p w14:paraId="2656455F" w14:textId="77777777" w:rsidR="00927EA0" w:rsidRDefault="00927EA0">
      <w:pPr>
        <w:spacing w:after="0" w:line="360" w:lineRule="auto"/>
        <w:jc w:val="both"/>
        <w:rPr>
          <w:rFonts w:ascii="Times New Roman" w:eastAsia="Times New Roman" w:hAnsi="Times New Roman" w:cs="Times New Roman"/>
          <w:sz w:val="28"/>
          <w:szCs w:val="28"/>
        </w:rPr>
      </w:pPr>
    </w:p>
    <w:p w14:paraId="56B00EB3" w14:textId="77777777" w:rsidR="00927EA0" w:rsidRDefault="00BF5F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participant's conference bag will contain a collection of scholarly papers </w:t>
      </w:r>
      <w:r>
        <w:rPr>
          <w:rFonts w:ascii="Times New Roman" w:eastAsia="Times New Roman" w:hAnsi="Times New Roman" w:cs="Times New Roman"/>
          <w:b/>
          <w:sz w:val="28"/>
          <w:szCs w:val="28"/>
        </w:rPr>
        <w:t>'Homo legens–14'</w:t>
      </w:r>
      <w:r>
        <w:rPr>
          <w:rFonts w:ascii="Times New Roman" w:eastAsia="Times New Roman" w:hAnsi="Times New Roman" w:cs="Times New Roman"/>
          <w:sz w:val="28"/>
          <w:szCs w:val="28"/>
        </w:rPr>
        <w:t xml:space="preserve">. </w:t>
      </w:r>
    </w:p>
    <w:p w14:paraId="3B30C3EA" w14:textId="77777777" w:rsidR="00927EA0" w:rsidRDefault="00927EA0">
      <w:pPr>
        <w:spacing w:after="0" w:line="360" w:lineRule="auto"/>
        <w:jc w:val="both"/>
        <w:rPr>
          <w:rFonts w:ascii="Times New Roman" w:eastAsia="Times New Roman" w:hAnsi="Times New Roman" w:cs="Times New Roman"/>
          <w:sz w:val="28"/>
          <w:szCs w:val="28"/>
        </w:rPr>
      </w:pPr>
    </w:p>
    <w:p w14:paraId="58D8CE82" w14:textId="77777777" w:rsidR="00927EA0" w:rsidRDefault="00BF5F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 welcome exclusive manuscripts for publication on the topics included into the programme of 'The Reader Mastery Academy – 2022' held March 25–26, 2022 and Th</w:t>
      </w:r>
      <w:r>
        <w:rPr>
          <w:rFonts w:ascii="Times New Roman" w:eastAsia="Times New Roman" w:hAnsi="Times New Roman" w:cs="Times New Roman"/>
          <w:sz w:val="28"/>
          <w:szCs w:val="28"/>
        </w:rPr>
        <w:t xml:space="preserve">e 8th International scientific сonference 'Reading and Literacy in Education and Culture: a regional perspective and global vision' to be held October 28, 2022.  </w:t>
      </w:r>
    </w:p>
    <w:p w14:paraId="10773DA7" w14:textId="77777777" w:rsidR="00927EA0" w:rsidRDefault="00927EA0">
      <w:pPr>
        <w:spacing w:after="0" w:line="360" w:lineRule="auto"/>
        <w:jc w:val="both"/>
        <w:rPr>
          <w:rFonts w:ascii="Times New Roman" w:eastAsia="Times New Roman" w:hAnsi="Times New Roman" w:cs="Times New Roman"/>
          <w:sz w:val="28"/>
          <w:szCs w:val="28"/>
        </w:rPr>
      </w:pPr>
    </w:p>
    <w:p w14:paraId="4984DCC6" w14:textId="77777777" w:rsidR="00927EA0" w:rsidRDefault="00BF5F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publish several categories of material: </w:t>
      </w:r>
    </w:p>
    <w:p w14:paraId="09167F1C" w14:textId="77777777" w:rsidR="00927EA0" w:rsidRDefault="00BF5F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reports of the plenary and breakout sessions of 'The Reader Mastery Academy' and the Conference;</w:t>
      </w:r>
    </w:p>
    <w:p w14:paraId="3F170D38" w14:textId="77777777" w:rsidR="00927EA0" w:rsidRDefault="00BF5F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articles written by the members of the Reading Association of Russia who have submitted membership fees; </w:t>
      </w:r>
    </w:p>
    <w:p w14:paraId="7262F216" w14:textId="77777777" w:rsidR="00927EA0" w:rsidRDefault="00BF5F42">
      <w:pPr>
        <w:numPr>
          <w:ilvl w:val="0"/>
          <w:numId w:val="1"/>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scripts of workshops presented at 'The Reader Mastery</w:t>
      </w:r>
      <w:r>
        <w:rPr>
          <w:rFonts w:ascii="Times New Roman" w:eastAsia="Times New Roman" w:hAnsi="Times New Roman" w:cs="Times New Roman"/>
          <w:sz w:val="28"/>
          <w:szCs w:val="28"/>
        </w:rPr>
        <w:t xml:space="preserve"> Academy', and the abstracts of reports to be presented at the Conference.   </w:t>
      </w:r>
    </w:p>
    <w:p w14:paraId="58EE208A" w14:textId="77777777" w:rsidR="00927EA0" w:rsidRDefault="00927EA0">
      <w:pPr>
        <w:spacing w:after="0" w:line="360" w:lineRule="auto"/>
        <w:jc w:val="both"/>
        <w:rPr>
          <w:rFonts w:ascii="Times New Roman" w:eastAsia="Times New Roman" w:hAnsi="Times New Roman" w:cs="Times New Roman"/>
          <w:sz w:val="28"/>
          <w:szCs w:val="28"/>
        </w:rPr>
      </w:pPr>
    </w:p>
    <w:p w14:paraId="4263335C" w14:textId="77777777" w:rsidR="00927EA0" w:rsidRDefault="00BF5F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article is up to 30,000 spaced printed characters, and an abstract is a 200–250-word text. </w:t>
      </w:r>
    </w:p>
    <w:p w14:paraId="72B63978" w14:textId="77777777" w:rsidR="00927EA0" w:rsidRDefault="00BF5F42">
      <w:pPr>
        <w:spacing w:after="0" w:line="360" w:lineRule="auto"/>
        <w:jc w:val="both"/>
        <w:rPr>
          <w:rFonts w:ascii="Times New Roman" w:eastAsia="Times New Roman" w:hAnsi="Times New Roman" w:cs="Times New Roman"/>
          <w:color w:val="0070C0"/>
          <w:sz w:val="28"/>
          <w:szCs w:val="28"/>
          <w:u w:val="single"/>
        </w:rPr>
      </w:pPr>
      <w:r>
        <w:rPr>
          <w:rFonts w:ascii="Times New Roman" w:eastAsia="Times New Roman" w:hAnsi="Times New Roman" w:cs="Times New Roman"/>
          <w:color w:val="0070C0"/>
          <w:sz w:val="28"/>
          <w:szCs w:val="28"/>
          <w:u w:val="single"/>
        </w:rPr>
        <w:t>To learn more about the formatting requirements, please click the link to an artic</w:t>
      </w:r>
      <w:r>
        <w:rPr>
          <w:rFonts w:ascii="Times New Roman" w:eastAsia="Times New Roman" w:hAnsi="Times New Roman" w:cs="Times New Roman"/>
          <w:color w:val="0070C0"/>
          <w:sz w:val="28"/>
          <w:szCs w:val="28"/>
          <w:u w:val="single"/>
        </w:rPr>
        <w:t xml:space="preserve">le sample.  </w:t>
      </w:r>
    </w:p>
    <w:p w14:paraId="53C7A3C2" w14:textId="77777777" w:rsidR="00927EA0" w:rsidRDefault="00927EA0">
      <w:pPr>
        <w:spacing w:after="0" w:line="360" w:lineRule="auto"/>
        <w:jc w:val="both"/>
        <w:rPr>
          <w:rFonts w:ascii="Times New Roman" w:eastAsia="Times New Roman" w:hAnsi="Times New Roman" w:cs="Times New Roman"/>
          <w:sz w:val="28"/>
          <w:szCs w:val="28"/>
        </w:rPr>
      </w:pPr>
    </w:p>
    <w:p w14:paraId="2CE22A5C" w14:textId="77777777" w:rsidR="00927EA0" w:rsidRDefault="00BF5F4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Submissions may be uploaded through an account at the conference web site </w:t>
      </w:r>
      <w:r>
        <w:rPr>
          <w:rFonts w:ascii="Times New Roman" w:eastAsia="Times New Roman" w:hAnsi="Times New Roman" w:cs="Times New Roman"/>
          <w:sz w:val="28"/>
          <w:szCs w:val="28"/>
          <w:highlight w:val="white"/>
          <w:u w:val="single"/>
        </w:rPr>
        <w:t>http://conference-mbco.ru</w:t>
      </w:r>
      <w:r>
        <w:rPr>
          <w:rFonts w:ascii="Times New Roman" w:eastAsia="Times New Roman" w:hAnsi="Times New Roman" w:cs="Times New Roman"/>
          <w:sz w:val="28"/>
          <w:szCs w:val="28"/>
        </w:rPr>
        <w:t>, or sent to the e-mail address</w:t>
      </w:r>
      <w:r>
        <w:rPr>
          <w:rFonts w:ascii="Times New Roman" w:eastAsia="Times New Roman" w:hAnsi="Times New Roman" w:cs="Times New Roman"/>
          <w:sz w:val="28"/>
          <w:szCs w:val="28"/>
          <w:u w:val="single"/>
        </w:rPr>
        <w:t xml:space="preserve"> rusreadorg@gmail.com</w:t>
      </w:r>
      <w:r>
        <w:rPr>
          <w:rFonts w:ascii="Times New Roman" w:eastAsia="Times New Roman" w:hAnsi="Times New Roman" w:cs="Times New Roman"/>
          <w:sz w:val="28"/>
          <w:szCs w:val="28"/>
        </w:rPr>
        <w:t xml:space="preserve">. </w:t>
      </w:r>
    </w:p>
    <w:p w14:paraId="7B7FDFF0" w14:textId="77777777" w:rsidR="00927EA0" w:rsidRDefault="00927EA0">
      <w:pPr>
        <w:spacing w:after="120" w:line="360" w:lineRule="auto"/>
        <w:jc w:val="both"/>
        <w:rPr>
          <w:rFonts w:ascii="Times New Roman" w:eastAsia="Times New Roman" w:hAnsi="Times New Roman" w:cs="Times New Roman"/>
          <w:sz w:val="24"/>
          <w:szCs w:val="24"/>
        </w:rPr>
      </w:pPr>
    </w:p>
    <w:p w14:paraId="73BEF631" w14:textId="77777777" w:rsidR="00927EA0" w:rsidRDefault="00BF5F42">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Key dates </w:t>
      </w:r>
    </w:p>
    <w:tbl>
      <w:tblPr>
        <w:tblStyle w:val="af1"/>
        <w:tblW w:w="10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
        <w:gridCol w:w="9040"/>
      </w:tblGrid>
      <w:tr w:rsidR="00927EA0" w14:paraId="1289FE0A" w14:textId="77777777">
        <w:trPr>
          <w:trHeight w:val="907"/>
        </w:trPr>
        <w:tc>
          <w:tcPr>
            <w:tcW w:w="1476" w:type="dxa"/>
            <w:vAlign w:val="center"/>
          </w:tcPr>
          <w:p w14:paraId="7FF7A750" w14:textId="77777777" w:rsidR="00927EA0"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10.04– 31.08.2022</w:t>
            </w:r>
          </w:p>
        </w:tc>
        <w:tc>
          <w:tcPr>
            <w:tcW w:w="9040" w:type="dxa"/>
            <w:vAlign w:val="center"/>
          </w:tcPr>
          <w:p w14:paraId="560CD2FA" w14:textId="77777777" w:rsidR="00927EA0"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Registration of the presenting conference participants  </w:t>
            </w:r>
          </w:p>
          <w:p w14:paraId="5ADAAF75" w14:textId="45069710" w:rsidR="00BF5F42"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via an account at https://conference-mbco.ru</w:t>
            </w:r>
          </w:p>
        </w:tc>
      </w:tr>
      <w:tr w:rsidR="00927EA0" w14:paraId="5C8D9A58" w14:textId="77777777">
        <w:trPr>
          <w:trHeight w:val="907"/>
        </w:trPr>
        <w:tc>
          <w:tcPr>
            <w:tcW w:w="1476" w:type="dxa"/>
            <w:vAlign w:val="center"/>
          </w:tcPr>
          <w:p w14:paraId="52E373A3" w14:textId="77777777" w:rsidR="00927EA0" w:rsidRDefault="00BF5F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10.04–</w:t>
            </w:r>
          </w:p>
          <w:p w14:paraId="7AD82248" w14:textId="77777777" w:rsidR="00927EA0" w:rsidRDefault="00BF5F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31.08.2022</w:t>
            </w:r>
          </w:p>
        </w:tc>
        <w:tc>
          <w:tcPr>
            <w:tcW w:w="9040" w:type="dxa"/>
            <w:vAlign w:val="center"/>
          </w:tcPr>
          <w:p w14:paraId="50A81DD7" w14:textId="77777777" w:rsidR="00927EA0"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abstracts and articles to be published in the collection of scholarly papers 'Homo legens–14'. Submissions are uploaded via an account at https://conference-mbco.ru or sent to rusreadorg@gmail.com</w:t>
            </w:r>
          </w:p>
        </w:tc>
      </w:tr>
      <w:tr w:rsidR="00927EA0" w14:paraId="3911D0B5" w14:textId="77777777">
        <w:trPr>
          <w:trHeight w:val="907"/>
        </w:trPr>
        <w:tc>
          <w:tcPr>
            <w:tcW w:w="1476" w:type="dxa"/>
            <w:vAlign w:val="center"/>
          </w:tcPr>
          <w:p w14:paraId="3F67089F" w14:textId="77777777" w:rsidR="00927EA0" w:rsidRDefault="00BF5F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10.04– 03.10.2022</w:t>
            </w:r>
          </w:p>
        </w:tc>
        <w:tc>
          <w:tcPr>
            <w:tcW w:w="9040" w:type="dxa"/>
            <w:vAlign w:val="center"/>
          </w:tcPr>
          <w:p w14:paraId="6EC28FC1" w14:textId="77777777" w:rsidR="00927EA0"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Registration of the non-pr</w:t>
            </w:r>
            <w:r>
              <w:rPr>
                <w:rFonts w:ascii="Times New Roman" w:eastAsia="Times New Roman" w:hAnsi="Times New Roman" w:cs="Times New Roman"/>
                <w:sz w:val="24"/>
                <w:szCs w:val="24"/>
              </w:rPr>
              <w:t>esenting conference participants</w:t>
            </w:r>
          </w:p>
        </w:tc>
      </w:tr>
      <w:tr w:rsidR="00927EA0" w14:paraId="429FC8CB" w14:textId="77777777">
        <w:trPr>
          <w:trHeight w:val="907"/>
        </w:trPr>
        <w:tc>
          <w:tcPr>
            <w:tcW w:w="1476" w:type="dxa"/>
            <w:vAlign w:val="center"/>
          </w:tcPr>
          <w:p w14:paraId="7B807150" w14:textId="77777777" w:rsidR="00927EA0" w:rsidRDefault="00BF5F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28.10.2022</w:t>
            </w:r>
          </w:p>
        </w:tc>
        <w:tc>
          <w:tcPr>
            <w:tcW w:w="9040" w:type="dxa"/>
            <w:vAlign w:val="center"/>
          </w:tcPr>
          <w:p w14:paraId="098807CC" w14:textId="77777777" w:rsidR="00927EA0"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work of the Conference</w:t>
            </w:r>
          </w:p>
        </w:tc>
      </w:tr>
      <w:tr w:rsidR="00927EA0" w14:paraId="1AE2E972" w14:textId="77777777">
        <w:trPr>
          <w:trHeight w:val="907"/>
        </w:trPr>
        <w:tc>
          <w:tcPr>
            <w:tcW w:w="1476" w:type="dxa"/>
            <w:vMerge w:val="restart"/>
            <w:vAlign w:val="center"/>
          </w:tcPr>
          <w:p w14:paraId="06E6E99E" w14:textId="77777777" w:rsidR="00927EA0" w:rsidRDefault="00BF5F4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after 28.10.2022 </w:t>
            </w:r>
          </w:p>
        </w:tc>
        <w:tc>
          <w:tcPr>
            <w:tcW w:w="9040" w:type="dxa"/>
            <w:vAlign w:val="center"/>
          </w:tcPr>
          <w:p w14:paraId="639D0C04" w14:textId="77777777" w:rsidR="00927EA0"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Certificates of the conference presenters will be sent to the e-mail address of the participant provided by him or her during the registration.</w:t>
            </w:r>
          </w:p>
        </w:tc>
      </w:tr>
      <w:tr w:rsidR="00927EA0" w14:paraId="6C6836D4" w14:textId="77777777">
        <w:trPr>
          <w:trHeight w:val="907"/>
        </w:trPr>
        <w:tc>
          <w:tcPr>
            <w:tcW w:w="1476" w:type="dxa"/>
            <w:vMerge/>
            <w:vAlign w:val="center"/>
          </w:tcPr>
          <w:p w14:paraId="0E2274C9" w14:textId="77777777" w:rsidR="00927EA0" w:rsidRDefault="00927EA0">
            <w:pPr>
              <w:widowControl w:val="0"/>
              <w:pBdr>
                <w:top w:val="nil"/>
                <w:left w:val="nil"/>
                <w:bottom w:val="nil"/>
                <w:right w:val="nil"/>
                <w:between w:val="nil"/>
              </w:pBdr>
              <w:spacing w:line="276" w:lineRule="auto"/>
              <w:jc w:val="left"/>
              <w:rPr>
                <w:rFonts w:ascii="Times New Roman" w:eastAsia="Times New Roman" w:hAnsi="Times New Roman" w:cs="Times New Roman"/>
                <w:sz w:val="28"/>
                <w:szCs w:val="28"/>
              </w:rPr>
            </w:pPr>
          </w:p>
        </w:tc>
        <w:tc>
          <w:tcPr>
            <w:tcW w:w="9040" w:type="dxa"/>
            <w:vAlign w:val="center"/>
          </w:tcPr>
          <w:p w14:paraId="5AE7099A" w14:textId="77777777" w:rsidR="00927EA0" w:rsidRDefault="00BF5F4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Certificates of the conference participants will be downloaded through the account at the conference web site http://conference-mbco.ru </w:t>
            </w:r>
          </w:p>
        </w:tc>
      </w:tr>
    </w:tbl>
    <w:p w14:paraId="750C53B4" w14:textId="77777777" w:rsidR="00927EA0" w:rsidRDefault="00BF5F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*To obtain a certificate, participants should register at the conference web site.</w:t>
      </w:r>
    </w:p>
    <w:p w14:paraId="74F427C8" w14:textId="77777777" w:rsidR="00927EA0" w:rsidRDefault="00927EA0">
      <w:pPr>
        <w:spacing w:after="0" w:line="240" w:lineRule="auto"/>
        <w:jc w:val="both"/>
        <w:rPr>
          <w:rFonts w:ascii="Times New Roman" w:eastAsia="Times New Roman" w:hAnsi="Times New Roman" w:cs="Times New Roman"/>
          <w:sz w:val="24"/>
          <w:szCs w:val="24"/>
        </w:rPr>
      </w:pPr>
    </w:p>
    <w:p w14:paraId="55A72C8D" w14:textId="4D2CAE44" w:rsidR="00927EA0" w:rsidRDefault="00BF5F4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Organization committee</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000FF"/>
            <w:sz w:val="24"/>
            <w:szCs w:val="24"/>
            <w:u w:val="single"/>
          </w:rPr>
          <w:t>conference.mbco@gmail.com</w:t>
        </w:r>
      </w:hyperlink>
    </w:p>
    <w:p w14:paraId="0964F1AC" w14:textId="77777777" w:rsidR="00927EA0" w:rsidRDefault="00BF5F42">
      <w:pPr>
        <w:spacing w:after="0" w:line="240" w:lineRule="auto"/>
        <w:jc w:val="both"/>
        <w:rPr>
          <w:rFonts w:ascii="Times New Roman" w:eastAsia="Times New Roman" w:hAnsi="Times New Roman" w:cs="Times New Roman"/>
          <w:sz w:val="24"/>
          <w:szCs w:val="24"/>
        </w:rPr>
      </w:pPr>
      <w:r>
        <w:br w:type="page"/>
      </w:r>
    </w:p>
    <w:p w14:paraId="0097FBCD" w14:textId="77777777" w:rsidR="00927EA0" w:rsidRDefault="00BF5F42">
      <w:pPr>
        <w:shd w:val="clear" w:color="auto" w:fill="FFC00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 article sample for the authors of </w:t>
      </w:r>
    </w:p>
    <w:p w14:paraId="61A3904F" w14:textId="77777777" w:rsidR="00927EA0" w:rsidRDefault="00BF5F42">
      <w:pPr>
        <w:pBdr>
          <w:bottom w:val="single" w:sz="4" w:space="1" w:color="000000"/>
        </w:pBdr>
        <w:shd w:val="clear" w:color="auto" w:fill="FFC00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'Homo legens–14' Homo legens-</w:t>
      </w:r>
      <w:r>
        <w:rPr>
          <w:rFonts w:ascii="Times New Roman" w:eastAsia="Times New Roman" w:hAnsi="Times New Roman" w:cs="Times New Roman"/>
          <w:sz w:val="24"/>
          <w:szCs w:val="24"/>
        </w:rPr>
        <w:t>14»</w:t>
      </w:r>
    </w:p>
    <w:p w14:paraId="5AE40050" w14:textId="77777777" w:rsidR="00927EA0" w:rsidRDefault="00927EA0">
      <w:pPr>
        <w:spacing w:after="0" w:line="240" w:lineRule="auto"/>
        <w:jc w:val="both"/>
        <w:rPr>
          <w:rFonts w:ascii="Times New Roman" w:eastAsia="Times New Roman" w:hAnsi="Times New Roman" w:cs="Times New Roman"/>
          <w:sz w:val="24"/>
          <w:szCs w:val="24"/>
        </w:rPr>
      </w:pPr>
    </w:p>
    <w:p w14:paraId="77ECEBA7" w14:textId="77777777" w:rsidR="00927EA0" w:rsidRDefault="00927EA0">
      <w:pPr>
        <w:spacing w:after="0" w:line="240" w:lineRule="auto"/>
        <w:jc w:val="both"/>
        <w:rPr>
          <w:rFonts w:ascii="Times New Roman" w:eastAsia="Times New Roman" w:hAnsi="Times New Roman" w:cs="Times New Roman"/>
          <w:sz w:val="28"/>
          <w:szCs w:val="28"/>
        </w:rPr>
      </w:pPr>
    </w:p>
    <w:p w14:paraId="571969C4" w14:textId="77777777" w:rsidR="00927EA0" w:rsidRDefault="00BF5F4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INTERACTIVE METHODS OF TEACHING THE READING OF FICTION </w:t>
      </w:r>
    </w:p>
    <w:p w14:paraId="04FB670A" w14:textId="77777777" w:rsidR="00927EA0" w:rsidRDefault="00BF5F4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 CLASSROOMS AND IN THE DIGITAL ENVIRONMENT </w:t>
      </w:r>
    </w:p>
    <w:p w14:paraId="3BAC8E26" w14:textId="77777777" w:rsidR="00927EA0" w:rsidRDefault="00BF5F42">
      <w:pPr>
        <w:keepNext/>
        <w:spacing w:before="16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rPr>
        <w:t>N</w:t>
      </w:r>
      <w:r>
        <w:rPr>
          <w:rFonts w:ascii="Times New Roman" w:eastAsia="Times New Roman" w:hAnsi="Times New Roman" w:cs="Times New Roman"/>
        </w:rPr>
        <w:t xml:space="preserve">ATALIA </w:t>
      </w:r>
      <w:r>
        <w:rPr>
          <w:rFonts w:ascii="Times New Roman" w:eastAsia="Times New Roman" w:hAnsi="Times New Roman" w:cs="Times New Roman"/>
          <w:sz w:val="28"/>
          <w:szCs w:val="28"/>
        </w:rPr>
        <w:t>K</w:t>
      </w:r>
      <w:r>
        <w:rPr>
          <w:rFonts w:ascii="Times New Roman" w:eastAsia="Times New Roman" w:hAnsi="Times New Roman" w:cs="Times New Roman"/>
        </w:rPr>
        <w:t>ULIBINA</w:t>
      </w:r>
    </w:p>
    <w:p w14:paraId="65D62563" w14:textId="77777777" w:rsidR="00927EA0" w:rsidRDefault="00BF5F42">
      <w:pPr>
        <w:spacing w:before="160" w:after="0" w:line="240" w:lineRule="auto"/>
        <w:jc w:val="center"/>
        <w:rPr>
          <w:rFonts w:ascii="Times New Roman" w:eastAsia="Times New Roman" w:hAnsi="Times New Roman" w:cs="Times New Roman"/>
          <w:i/>
        </w:rPr>
      </w:pPr>
      <w:r>
        <w:rPr>
          <w:rFonts w:ascii="Times New Roman" w:eastAsia="Times New Roman" w:hAnsi="Times New Roman" w:cs="Times New Roman"/>
          <w:i/>
          <w:color w:val="000000"/>
        </w:rPr>
        <w:t>Doctor of Pedagogy, Professor,</w:t>
      </w:r>
    </w:p>
    <w:p w14:paraId="63654225" w14:textId="77777777" w:rsidR="00927EA0" w:rsidRDefault="00BF5F4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Head of the Methodological Department of the Russian Language</w:t>
      </w:r>
    </w:p>
    <w:p w14:paraId="3EA776F5" w14:textId="77777777" w:rsidR="00927EA0" w:rsidRDefault="00BF5F42">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of Pushkin State Russian Language Institute</w:t>
      </w:r>
    </w:p>
    <w:p w14:paraId="398B75F6" w14:textId="77777777" w:rsidR="00927EA0" w:rsidRDefault="00BF5F42">
      <w:pPr>
        <w:jc w:val="center"/>
        <w:rPr>
          <w:rFonts w:ascii="Times New Roman" w:eastAsia="Times New Roman" w:hAnsi="Times New Roman" w:cs="Times New Roman"/>
          <w:i/>
        </w:rPr>
      </w:pPr>
      <w:r>
        <w:rPr>
          <w:rFonts w:ascii="Times New Roman" w:eastAsia="Times New Roman" w:hAnsi="Times New Roman" w:cs="Times New Roman"/>
          <w:i/>
        </w:rPr>
        <w:t>Russia, Moscow</w:t>
      </w:r>
    </w:p>
    <w:p w14:paraId="363939DB" w14:textId="77777777" w:rsidR="00927EA0" w:rsidRDefault="00BF5F42">
      <w:pPr>
        <w:widowControl w:val="0"/>
        <w:shd w:val="clear" w:color="auto" w:fill="FFFFFF"/>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i/>
        </w:rPr>
        <w:t>Abstract.</w:t>
      </w:r>
      <w:r>
        <w:rPr>
          <w:rFonts w:ascii="Times New Roman" w:eastAsia="Times New Roman" w:hAnsi="Times New Roman" w:cs="Times New Roman"/>
        </w:rPr>
        <w:t xml:space="preserve"> The article describes the main provisions of an interactive methodology for teaching fiction reading in face-to-face classes and in a digital environment: the use of authentic literary texts, taking into account the universal psychological mechanisms of r</w:t>
      </w:r>
      <w:r>
        <w:rPr>
          <w:rFonts w:ascii="Times New Roman" w:eastAsia="Times New Roman" w:hAnsi="Times New Roman" w:cs="Times New Roman"/>
        </w:rPr>
        <w:t>eading activity and organizing a reading lesson according to the model of natural speech interaction between the reader and the book. …</w:t>
      </w:r>
    </w:p>
    <w:p w14:paraId="4C6D5815" w14:textId="77777777" w:rsidR="00927EA0" w:rsidRDefault="00BF5F42">
      <w:pPr>
        <w:widowControl w:val="0"/>
        <w:shd w:val="clear" w:color="auto" w:fill="FFFFFF"/>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i/>
        </w:rPr>
        <w:t>Keywords:</w:t>
      </w:r>
      <w:r>
        <w:rPr>
          <w:rFonts w:ascii="Times New Roman" w:eastAsia="Times New Roman" w:hAnsi="Times New Roman" w:cs="Times New Roman"/>
        </w:rPr>
        <w:t xml:space="preserve"> Interactivity, methodology, reading, fiction ...</w:t>
      </w:r>
    </w:p>
    <w:p w14:paraId="19D8E916" w14:textId="77777777" w:rsidR="00927EA0" w:rsidRDefault="00927EA0">
      <w:pPr>
        <w:widowControl w:val="0"/>
        <w:shd w:val="clear" w:color="auto" w:fill="FFFFFF"/>
        <w:spacing w:after="0" w:line="360" w:lineRule="auto"/>
        <w:ind w:firstLine="709"/>
        <w:jc w:val="both"/>
        <w:rPr>
          <w:rFonts w:ascii="Times New Roman" w:eastAsia="Times New Roman" w:hAnsi="Times New Roman" w:cs="Times New Roman"/>
          <w:sz w:val="24"/>
          <w:szCs w:val="24"/>
        </w:rPr>
      </w:pPr>
    </w:p>
    <w:p w14:paraId="3172A119" w14:textId="77777777" w:rsidR="00927EA0" w:rsidRDefault="00BF5F42">
      <w:pPr>
        <w:widowControl w:val="0"/>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widespread idea that interactive learning results</w:t>
      </w:r>
      <w:r>
        <w:rPr>
          <w:rFonts w:ascii="Times New Roman" w:eastAsia="Times New Roman" w:hAnsi="Times New Roman" w:cs="Times New Roman"/>
          <w:sz w:val="24"/>
          <w:szCs w:val="24"/>
        </w:rPr>
        <w:t xml:space="preserve"> from the application of gadgets.  However, this is not borne out by facts. Digital technologies only help to maximize the benefits of the learning material that was worked through by the teacher. </w:t>
      </w:r>
    </w:p>
    <w:p w14:paraId="159B0717" w14:textId="77777777" w:rsidR="00927EA0" w:rsidRDefault="00BF5F42">
      <w:pPr>
        <w:widowControl w:val="0"/>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76BAA02" w14:textId="77777777" w:rsidR="00927EA0" w:rsidRDefault="00BF5F42">
      <w:pPr>
        <w:widowControl w:val="0"/>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text is interactive by nature: it poses questions, enc</w:t>
      </w:r>
      <w:r>
        <w:rPr>
          <w:rFonts w:ascii="Times New Roman" w:eastAsia="Times New Roman" w:hAnsi="Times New Roman" w:cs="Times New Roman"/>
          <w:sz w:val="24"/>
          <w:szCs w:val="24"/>
        </w:rPr>
        <w:t>ouraging a reader to search for answers.  Leontiev called a text a 'communication act waiting to unfold', which has all the elements of a communication situation, such as interlocutor 1 (the author), interlocutor 2 (the reader), the message (the text) [6].</w:t>
      </w:r>
      <w:r>
        <w:rPr>
          <w:rFonts w:ascii="Times New Roman" w:eastAsia="Times New Roman" w:hAnsi="Times New Roman" w:cs="Times New Roman"/>
          <w:sz w:val="24"/>
          <w:szCs w:val="24"/>
        </w:rPr>
        <w:t xml:space="preserve"> This assertion is true for any text, including literary, which apart from all the textual features is communicative by nature. Lotman wrote that a literary text was "an ideal communication partner," facilitating a reader's comprehension and giving him the</w:t>
      </w:r>
      <w:r>
        <w:rPr>
          <w:rFonts w:ascii="Times New Roman" w:eastAsia="Times New Roman" w:hAnsi="Times New Roman" w:cs="Times New Roman"/>
          <w:sz w:val="24"/>
          <w:szCs w:val="24"/>
        </w:rPr>
        <w:t xml:space="preserve"> clues necessary for understanding: "As if a text and a reader were in search of mutual understanding. They "accommodate" each other. A text is akin to an interlocutor partaking in a dialogue: it allows for restructuring (within the limits of internal stru</w:t>
      </w:r>
      <w:r>
        <w:rPr>
          <w:rFonts w:ascii="Times New Roman" w:eastAsia="Times New Roman" w:hAnsi="Times New Roman" w:cs="Times New Roman"/>
          <w:sz w:val="24"/>
          <w:szCs w:val="24"/>
        </w:rPr>
        <w:t>ctural uncertainty) under the influence of the audience" [7, p. 113].</w:t>
      </w:r>
    </w:p>
    <w:p w14:paraId="786618D1" w14:textId="77777777" w:rsidR="00927EA0" w:rsidRDefault="00BF5F42">
      <w:pPr>
        <w:widowControl w:val="0"/>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to understand fiction means to master the techniques of interaction with a text, interaction through a text. Reading instruction may be provided in class or at home; to any group of people that needs  this skill (children and adults; native and no</w:t>
      </w:r>
      <w:r>
        <w:rPr>
          <w:rFonts w:ascii="Times New Roman" w:eastAsia="Times New Roman" w:hAnsi="Times New Roman" w:cs="Times New Roman"/>
          <w:sz w:val="24"/>
          <w:szCs w:val="24"/>
        </w:rPr>
        <w:t>n-native speakers, as well as bilinguals; children with speaking difficulties etc.); ...</w:t>
      </w:r>
    </w:p>
    <w:p w14:paraId="7FD30122" w14:textId="77777777" w:rsidR="00927EA0" w:rsidRDefault="00BF5F42">
      <w:pPr>
        <w:widowControl w:val="0"/>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noProof/>
        </w:rPr>
        <mc:AlternateContent>
          <mc:Choice Requires="wps">
            <w:drawing>
              <wp:anchor distT="0" distB="0" distL="114300" distR="114300" simplePos="0" relativeHeight="251658240" behindDoc="0" locked="0" layoutInCell="1" hidden="0" allowOverlap="1" wp14:anchorId="3E4B779B" wp14:editId="703859DC">
                <wp:simplePos x="0" y="0"/>
                <wp:positionH relativeFrom="column">
                  <wp:posOffset>3695700</wp:posOffset>
                </wp:positionH>
                <wp:positionV relativeFrom="paragraph">
                  <wp:posOffset>76200</wp:posOffset>
                </wp:positionV>
                <wp:extent cx="2676525" cy="1381125"/>
                <wp:effectExtent l="0" t="0" r="0" b="0"/>
                <wp:wrapNone/>
                <wp:docPr id="5" name="Облачко с текстом: прямоугольное 5"/>
                <wp:cNvGraphicFramePr/>
                <a:graphic xmlns:a="http://schemas.openxmlformats.org/drawingml/2006/main">
                  <a:graphicData uri="http://schemas.microsoft.com/office/word/2010/wordprocessingShape">
                    <wps:wsp>
                      <wps:cNvSpPr/>
                      <wps:spPr>
                        <a:xfrm>
                          <a:off x="4012500" y="3094200"/>
                          <a:ext cx="2667000" cy="1371600"/>
                        </a:xfrm>
                        <a:prstGeom prst="wedgeRectCallout">
                          <a:avLst>
                            <a:gd name="adj1" fmla="val -36477"/>
                            <a:gd name="adj2" fmla="val 64889"/>
                          </a:avLst>
                        </a:prstGeom>
                        <a:solidFill>
                          <a:srgbClr val="FFC000"/>
                        </a:solidFill>
                        <a:ln w="9525" cap="flat" cmpd="sng">
                          <a:solidFill>
                            <a:srgbClr val="000000"/>
                          </a:solidFill>
                          <a:prstDash val="solid"/>
                          <a:miter lim="800000"/>
                          <a:headEnd type="none" w="sm" len="sm"/>
                          <a:tailEnd type="none" w="sm" len="sm"/>
                        </a:ln>
                      </wps:spPr>
                      <wps:txbx>
                        <w:txbxContent>
                          <w:p w14:paraId="01DCD303" w14:textId="77777777" w:rsidR="00927EA0" w:rsidRDefault="00BF5F42">
                            <w:pPr>
                              <w:spacing w:after="0" w:line="240" w:lineRule="auto"/>
                              <w:textDirection w:val="btLr"/>
                            </w:pPr>
                            <w:r>
                              <w:rPr>
                                <w:color w:val="000000"/>
                              </w:rPr>
                              <w:t xml:space="preserve">We would like to draw the attention of the authors that  </w:t>
                            </w:r>
                          </w:p>
                          <w:p w14:paraId="0F97D06B" w14:textId="77777777" w:rsidR="00927EA0" w:rsidRDefault="00BF5F42">
                            <w:pPr>
                              <w:spacing w:after="0" w:line="240" w:lineRule="auto"/>
                              <w:ind w:left="360"/>
                              <w:textDirection w:val="btLr"/>
                            </w:pPr>
                            <w:r>
                              <w:rPr>
                                <w:color w:val="000000"/>
                              </w:rPr>
                              <w:t xml:space="preserve">screenshots containing visual data should not be added to the submitted text. </w:t>
                            </w:r>
                          </w:p>
                          <w:p w14:paraId="4E23406F" w14:textId="77777777" w:rsidR="00927EA0" w:rsidRDefault="00BF5F42">
                            <w:pPr>
                              <w:spacing w:after="0" w:line="240" w:lineRule="auto"/>
                              <w:ind w:left="360"/>
                              <w:textDirection w:val="btLr"/>
                            </w:pPr>
                            <w:r>
                              <w:rPr>
                                <w:color w:val="000000"/>
                              </w:rPr>
                              <w:t>Visuals will appear as bla</w:t>
                            </w:r>
                            <w:r>
                              <w:rPr>
                                <w:color w:val="000000"/>
                              </w:rPr>
                              <w:t xml:space="preserve">ck and white images on paper. </w:t>
                            </w:r>
                          </w:p>
                          <w:p w14:paraId="396BCF92" w14:textId="77777777" w:rsidR="00927EA0" w:rsidRDefault="00BF5F42">
                            <w:pPr>
                              <w:spacing w:after="0" w:line="240" w:lineRule="auto"/>
                              <w:ind w:left="360"/>
                              <w:textDirection w:val="btLr"/>
                            </w:pPr>
                            <w:r>
                              <w:rPr>
                                <w:color w:val="000000"/>
                              </w:rPr>
                              <w:t xml:space="preserve">Visuals may be requested by the editor in a separate jpeg file. </w:t>
                            </w:r>
                          </w:p>
                        </w:txbxContent>
                      </wps:txbx>
                      <wps:bodyPr spcFirstLastPara="1" wrap="square" lIns="91425" tIns="45700" rIns="91425" bIns="45700" anchor="t" anchorCtr="0">
                        <a:noAutofit/>
                      </wps:bodyPr>
                    </wps:wsp>
                  </a:graphicData>
                </a:graphic>
              </wp:anchor>
            </w:drawing>
          </mc:Choice>
          <mc:Fallback>
            <w:pict>
              <v:shapetype w14:anchorId="3E4B779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Облачко с текстом: прямоугольное 5" o:spid="_x0000_s1026" type="#_x0000_t61" style="position:absolute;left:0;text-align:left;margin-left:291pt;margin-top:6pt;width:210.75pt;height:10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" adj="2921,24816" fillcolor="#ffc000">
                <v:stroke startarrowwidth="narrow" startarrowlength="short" endarrowwidth="narrow" endarrowlength="short"/>
                <v:textbox inset="2.53958mm,1.2694mm,2.53958mm,1.2694mm">
                  <w:txbxContent>
                    <w:p w14:paraId="01DCD303" w14:textId="77777777" w:rsidR="00927EA0" w:rsidRDefault="00BF5F42">
                      <w:pPr>
                        <w:spacing w:after="0" w:line="240" w:lineRule="auto"/>
                        <w:textDirection w:val="btLr"/>
                      </w:pPr>
                      <w:r>
                        <w:rPr>
                          <w:color w:val="000000"/>
                        </w:rPr>
                        <w:t xml:space="preserve">We would like to draw the attention of the authors that  </w:t>
                      </w:r>
                    </w:p>
                    <w:p w14:paraId="0F97D06B" w14:textId="77777777" w:rsidR="00927EA0" w:rsidRDefault="00BF5F42">
                      <w:pPr>
                        <w:spacing w:after="0" w:line="240" w:lineRule="auto"/>
                        <w:ind w:left="360"/>
                        <w:textDirection w:val="btLr"/>
                      </w:pPr>
                      <w:r>
                        <w:rPr>
                          <w:color w:val="000000"/>
                        </w:rPr>
                        <w:t xml:space="preserve">screenshots containing visual data should not be added to the submitted text. </w:t>
                      </w:r>
                    </w:p>
                    <w:p w14:paraId="4E23406F" w14:textId="77777777" w:rsidR="00927EA0" w:rsidRDefault="00BF5F42">
                      <w:pPr>
                        <w:spacing w:after="0" w:line="240" w:lineRule="auto"/>
                        <w:ind w:left="360"/>
                        <w:textDirection w:val="btLr"/>
                      </w:pPr>
                      <w:r>
                        <w:rPr>
                          <w:color w:val="000000"/>
                        </w:rPr>
                        <w:t>Visuals will appear as bla</w:t>
                      </w:r>
                      <w:r>
                        <w:rPr>
                          <w:color w:val="000000"/>
                        </w:rPr>
                        <w:t xml:space="preserve">ck and white images on paper. </w:t>
                      </w:r>
                    </w:p>
                    <w:p w14:paraId="396BCF92" w14:textId="77777777" w:rsidR="00927EA0" w:rsidRDefault="00BF5F42">
                      <w:pPr>
                        <w:spacing w:after="0" w:line="240" w:lineRule="auto"/>
                        <w:ind w:left="360"/>
                        <w:textDirection w:val="btLr"/>
                      </w:pPr>
                      <w:r>
                        <w:rPr>
                          <w:color w:val="000000"/>
                        </w:rPr>
                        <w:t xml:space="preserve">Visuals may be requested by the editor in a separate jpeg file. </w:t>
                      </w:r>
                    </w:p>
                  </w:txbxContent>
                </v:textbox>
              </v:shape>
            </w:pict>
          </mc:Fallback>
        </mc:AlternateContent>
      </w:r>
    </w:p>
    <w:p w14:paraId="5CDF7541" w14:textId="77777777" w:rsidR="00927EA0" w:rsidRDefault="00927EA0">
      <w:pPr>
        <w:widowControl w:val="0"/>
        <w:shd w:val="clear" w:color="auto" w:fill="FFFFFF"/>
        <w:spacing w:after="0" w:line="360" w:lineRule="auto"/>
        <w:ind w:firstLine="709"/>
        <w:jc w:val="both"/>
        <w:rPr>
          <w:rFonts w:ascii="Times New Roman" w:eastAsia="Times New Roman" w:hAnsi="Times New Roman" w:cs="Times New Roman"/>
          <w:sz w:val="24"/>
          <w:szCs w:val="24"/>
        </w:rPr>
      </w:pPr>
    </w:p>
    <w:p w14:paraId="03A21ADB" w14:textId="77777777" w:rsidR="00927EA0" w:rsidRDefault="00BF5F42">
      <w:pPr>
        <w:widowControl w:val="0"/>
        <w:shd w:val="clear" w:color="auto" w:fill="FFFFFF"/>
        <w:spacing w:after="0" w:line="360" w:lineRule="auto"/>
        <w:jc w:val="center"/>
        <w:rPr>
          <w:rFonts w:ascii="Times New Roman" w:eastAsia="Times New Roman" w:hAnsi="Times New Roman" w:cs="Times New Roman"/>
          <w:sz w:val="24"/>
          <w:szCs w:val="24"/>
        </w:rPr>
      </w:pPr>
      <w:r>
        <w:rPr>
          <w:noProof/>
        </w:rPr>
        <w:lastRenderedPageBreak/>
        <w:drawing>
          <wp:inline distT="0" distB="0" distL="0" distR="0" wp14:anchorId="3CDC43FC" wp14:editId="6928E626">
            <wp:extent cx="6115050" cy="334327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115050" cy="3343275"/>
                    </a:xfrm>
                    <a:prstGeom prst="rect">
                      <a:avLst/>
                    </a:prstGeom>
                    <a:ln/>
                  </pic:spPr>
                </pic:pic>
              </a:graphicData>
            </a:graphic>
          </wp:inline>
        </w:drawing>
      </w:r>
    </w:p>
    <w:p w14:paraId="7CECE7AC" w14:textId="77777777" w:rsidR="00927EA0" w:rsidRDefault="00BF5F42">
      <w:pPr>
        <w:widowControl w:val="0"/>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 xml:space="preserve">Picture 1.  </w:t>
      </w:r>
      <w:r>
        <w:rPr>
          <w:rFonts w:ascii="Times New Roman" w:eastAsia="Times New Roman" w:hAnsi="Times New Roman" w:cs="Times New Roman"/>
        </w:rPr>
        <w:t xml:space="preserve">An online lesson on the poem 'New Year' by M. Boroditskaya.  Бородицкой «Новый год» </w:t>
      </w:r>
    </w:p>
    <w:p w14:paraId="2780A074" w14:textId="77777777" w:rsidR="00927EA0" w:rsidRDefault="00BF5F42">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hidden="0" allowOverlap="1" wp14:anchorId="61122435" wp14:editId="1003EE62">
                <wp:simplePos x="0" y="0"/>
                <wp:positionH relativeFrom="column">
                  <wp:posOffset>4597400</wp:posOffset>
                </wp:positionH>
                <wp:positionV relativeFrom="paragraph">
                  <wp:posOffset>127000</wp:posOffset>
                </wp:positionV>
                <wp:extent cx="2038350" cy="590550"/>
                <wp:effectExtent l="0" t="0" r="0" b="0"/>
                <wp:wrapNone/>
                <wp:docPr id="6" name="Облачко с текстом: прямоугольное 6"/>
                <wp:cNvGraphicFramePr/>
                <a:graphic xmlns:a="http://schemas.openxmlformats.org/drawingml/2006/main">
                  <a:graphicData uri="http://schemas.microsoft.com/office/word/2010/wordprocessingShape">
                    <wps:wsp>
                      <wps:cNvSpPr/>
                      <wps:spPr>
                        <a:xfrm>
                          <a:off x="4331588" y="3489488"/>
                          <a:ext cx="2028825" cy="581025"/>
                        </a:xfrm>
                        <a:prstGeom prst="wedgeRectCallout">
                          <a:avLst>
                            <a:gd name="adj1" fmla="val -36477"/>
                            <a:gd name="adj2" fmla="val 64889"/>
                          </a:avLst>
                        </a:prstGeom>
                        <a:solidFill>
                          <a:srgbClr val="FFC000"/>
                        </a:solidFill>
                        <a:ln w="9525" cap="flat" cmpd="sng">
                          <a:solidFill>
                            <a:srgbClr val="000000"/>
                          </a:solidFill>
                          <a:prstDash val="solid"/>
                          <a:miter lim="800000"/>
                          <a:headEnd type="none" w="sm" len="sm"/>
                          <a:tailEnd type="none" w="sm" len="sm"/>
                        </a:ln>
                      </wps:spPr>
                      <wps:txbx>
                        <w:txbxContent>
                          <w:p w14:paraId="3BE96D88" w14:textId="77777777" w:rsidR="00927EA0" w:rsidRDefault="00BF5F42">
                            <w:pPr>
                              <w:spacing w:after="0" w:line="240" w:lineRule="auto"/>
                              <w:textDirection w:val="btLr"/>
                            </w:pPr>
                            <w:r>
                              <w:rPr>
                                <w:color w:val="000000"/>
                              </w:rPr>
                              <w:t xml:space="preserve">We would like to draw the attention of the authors that </w:t>
                            </w:r>
                          </w:p>
                          <w:p w14:paraId="051BDCF1" w14:textId="77777777" w:rsidR="00927EA0" w:rsidRDefault="00BF5F42">
                            <w:pPr>
                              <w:spacing w:after="0" w:line="240" w:lineRule="auto"/>
                              <w:textDirection w:val="btLr"/>
                            </w:pPr>
                            <w:r>
                              <w:rPr>
                                <w:color w:val="000000"/>
                              </w:rPr>
                              <w:t xml:space="preserve">the sources in the bibliography shoud be arranged in the alphabetic order. </w:t>
                            </w:r>
                          </w:p>
                        </w:txbxContent>
                      </wps:txbx>
                      <wps:bodyPr spcFirstLastPara="1" wrap="square" lIns="91425" tIns="45700" rIns="91425" bIns="45700" anchor="t" anchorCtr="0">
                        <a:noAutofit/>
                      </wps:bodyPr>
                    </wps:wsp>
                  </a:graphicData>
                </a:graphic>
              </wp:anchor>
            </w:drawing>
          </mc:Choice>
          <mc:Fallback>
            <w:pict>
              <v:shape w14:anchorId="61122435" id="Облачко с текстом: прямоугольное 6" o:spid="_x0000_s1027" type="#_x0000_t61" style="position:absolute;margin-left:362pt;margin-top:10pt;width:160.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" adj="2921,24816" fillcolor="#ffc000">
                <v:stroke startarrowwidth="narrow" startarrowlength="short" endarrowwidth="narrow" endarrowlength="short"/>
                <v:textbox inset="2.53958mm,1.2694mm,2.53958mm,1.2694mm">
                  <w:txbxContent>
                    <w:p w14:paraId="3BE96D88" w14:textId="77777777" w:rsidR="00927EA0" w:rsidRDefault="00BF5F42">
                      <w:pPr>
                        <w:spacing w:after="0" w:line="240" w:lineRule="auto"/>
                        <w:textDirection w:val="btLr"/>
                      </w:pPr>
                      <w:r>
                        <w:rPr>
                          <w:color w:val="000000"/>
                        </w:rPr>
                        <w:t xml:space="preserve">We would like to draw the attention of the authors that </w:t>
                      </w:r>
                    </w:p>
                    <w:p w14:paraId="051BDCF1" w14:textId="77777777" w:rsidR="00927EA0" w:rsidRDefault="00BF5F42">
                      <w:pPr>
                        <w:spacing w:after="0" w:line="240" w:lineRule="auto"/>
                        <w:textDirection w:val="btLr"/>
                      </w:pPr>
                      <w:r>
                        <w:rPr>
                          <w:color w:val="000000"/>
                        </w:rPr>
                        <w:t xml:space="preserve">the sources in the bibliography shoud be arranged in the alphabetic order. </w:t>
                      </w:r>
                    </w:p>
                  </w:txbxContent>
                </v:textbox>
              </v:shape>
            </w:pict>
          </mc:Fallback>
        </mc:AlternateContent>
      </w:r>
    </w:p>
    <w:p w14:paraId="0C985C6F" w14:textId="77777777" w:rsidR="00927EA0" w:rsidRDefault="00BF5F42">
      <w:pPr>
        <w:rPr>
          <w:rFonts w:ascii="Times New Roman" w:eastAsia="Times New Roman" w:hAnsi="Times New Roman" w:cs="Times New Roman"/>
          <w:b/>
          <w:strike/>
        </w:rPr>
      </w:pPr>
      <w:r>
        <w:rPr>
          <w:rFonts w:ascii="Times New Roman" w:eastAsia="Times New Roman" w:hAnsi="Times New Roman" w:cs="Times New Roman"/>
        </w:rPr>
        <w:t>______________________</w:t>
      </w:r>
    </w:p>
    <w:p w14:paraId="4C1EBD14"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 xml:space="preserve">Zhinkin N. </w:t>
      </w:r>
      <w:r>
        <w:rPr>
          <w:rFonts w:ascii="Times New Roman" w:eastAsia="Times New Roman" w:hAnsi="Times New Roman" w:cs="Times New Roman"/>
          <w:color w:val="000000"/>
          <w:highlight w:val="white"/>
        </w:rPr>
        <w:t xml:space="preserve"> Rech kak provodnik informatsii.  Moskva: Nauka, 1982.  </w:t>
      </w:r>
    </w:p>
    <w:p w14:paraId="52488F4B"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Issledovanie PISA-2009.  Res</w:t>
      </w:r>
      <w:r>
        <w:rPr>
          <w:rFonts w:ascii="Times New Roman" w:eastAsia="Times New Roman" w:hAnsi="Times New Roman" w:cs="Times New Roman"/>
        </w:rPr>
        <w:t>ultaty</w:t>
      </w:r>
      <w:r>
        <w:rPr>
          <w:rFonts w:ascii="Times New Roman" w:eastAsia="Times New Roman" w:hAnsi="Times New Roman" w:cs="Times New Roman"/>
          <w:color w:val="000000"/>
        </w:rPr>
        <w:t xml:space="preserve">. http://www.centeroko.ru/pisa09_res.htm. P. 25. </w:t>
      </w:r>
    </w:p>
    <w:p w14:paraId="44AE00B8"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Kulibina N.  Zachem, chto i kak chitat na uroke?  Khudozhestvenny tekst pri izuchenii russkogo yazyka kak inostrannogo.  Sankt-Peterburg: Zlatoust, 2015. </w:t>
      </w:r>
    </w:p>
    <w:p w14:paraId="625E6FD4"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Kulibina N. Metodika obuchenia chteniyu khudozhestvennoi literatury. Monografia.  Moskva: Flinta, 201</w:t>
      </w:r>
      <w:r>
        <w:rPr>
          <w:rFonts w:ascii="Times New Roman" w:eastAsia="Times New Roman" w:hAnsi="Times New Roman" w:cs="Times New Roman"/>
          <w:color w:val="000000"/>
        </w:rPr>
        <w:t xml:space="preserve">8.  </w:t>
      </w:r>
    </w:p>
    <w:p w14:paraId="5BF501D0"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Kulibina N. Chitaem po-russki na urokakh. Kniga dlya uchilelya.  Kniga dlya uchenikov.  Riga: RETORIKA-A, 2008.</w:t>
      </w:r>
    </w:p>
    <w:p w14:paraId="615374AF"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Kulibina N. Chitaem stikhi russkikh poetov. Uchebnoe posobie (6-e izd.). Sankt-Peterburg: Zlatoust, 2019.</w:t>
      </w:r>
    </w:p>
    <w:p w14:paraId="59B03B88"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Leontiev A.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Osnovy psikholingvis</w:t>
      </w:r>
      <w:r>
        <w:rPr>
          <w:rFonts w:ascii="Times New Roman" w:eastAsia="Times New Roman" w:hAnsi="Times New Roman" w:cs="Times New Roman"/>
          <w:color w:val="000000"/>
        </w:rPr>
        <w:t xml:space="preserve">tiki. Moskva: Smysl, 1999. </w:t>
      </w:r>
    </w:p>
    <w:p w14:paraId="58E8C811"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Lotman Yu. </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Vnutri myslyachshikh mirov.  Chelovek, tekst, semiosfera, istoria. Moskva: Yazyki russkoi kultury, 1999.  </w:t>
      </w:r>
    </w:p>
    <w:p w14:paraId="75501115" w14:textId="77777777" w:rsidR="00927EA0" w:rsidRDefault="00BF5F42">
      <w:pPr>
        <w:numPr>
          <w:ilvl w:val="0"/>
          <w:numId w:val="3"/>
        </w:numPr>
        <w:pBdr>
          <w:top w:val="nil"/>
          <w:left w:val="nil"/>
          <w:bottom w:val="nil"/>
          <w:right w:val="nil"/>
          <w:between w:val="nil"/>
        </w:pBdr>
        <w:spacing w:after="0" w:line="240" w:lineRule="auto"/>
        <w:ind w:left="0" w:firstLine="357"/>
        <w:jc w:val="both"/>
        <w:rPr>
          <w:rFonts w:ascii="Times New Roman" w:eastAsia="Times New Roman" w:hAnsi="Times New Roman" w:cs="Times New Roman"/>
          <w:color w:val="000000"/>
        </w:rPr>
      </w:pPr>
      <w:r>
        <w:rPr>
          <w:rFonts w:ascii="Times New Roman" w:eastAsia="Times New Roman" w:hAnsi="Times New Roman" w:cs="Times New Roman"/>
          <w:color w:val="000000"/>
        </w:rPr>
        <w:t>Smith F. Understanding Reading: A Psycholinguistic analysis of reading and learning to read. New York, 1971.</w:t>
      </w:r>
    </w:p>
    <w:p w14:paraId="1BAC5BD3" w14:textId="77777777" w:rsidR="00927EA0" w:rsidRDefault="00927EA0">
      <w:pPr>
        <w:spacing w:after="0" w:line="240" w:lineRule="auto"/>
        <w:jc w:val="both"/>
        <w:rPr>
          <w:rFonts w:ascii="Times New Roman" w:eastAsia="Times New Roman" w:hAnsi="Times New Roman" w:cs="Times New Roman"/>
        </w:rPr>
      </w:pPr>
    </w:p>
    <w:sectPr w:rsidR="00927EA0">
      <w:type w:val="continuous"/>
      <w:pgSz w:w="11906" w:h="16838"/>
      <w:pgMar w:top="567" w:right="567" w:bottom="284" w:left="99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49A"/>
    <w:multiLevelType w:val="multilevel"/>
    <w:tmpl w:val="FC607864"/>
    <w:lvl w:ilvl="0">
      <w:start w:val="1"/>
      <w:numFmt w:val="decimal"/>
      <w:lvlText w:val="%1."/>
      <w:lvlJc w:val="left"/>
      <w:pPr>
        <w:ind w:left="5464"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6A14914"/>
    <w:multiLevelType w:val="multilevel"/>
    <w:tmpl w:val="91140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CD73A7B"/>
    <w:multiLevelType w:val="multilevel"/>
    <w:tmpl w:val="997E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3521499">
    <w:abstractNumId w:val="2"/>
  </w:num>
  <w:num w:numId="2" w16cid:durableId="929583764">
    <w:abstractNumId w:val="1"/>
  </w:num>
  <w:num w:numId="3" w16cid:durableId="924919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EA0"/>
    <w:rsid w:val="00927EA0"/>
    <w:rsid w:val="00BF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85F0"/>
  <w15:docId w15:val="{47FDF744-360C-422E-A572-F1FABE3E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936DB"/>
    <w:pPr>
      <w:ind w:left="720"/>
      <w:contextualSpacing/>
    </w:pPr>
  </w:style>
  <w:style w:type="table" w:styleId="a5">
    <w:name w:val="Table Grid"/>
    <w:basedOn w:val="a1"/>
    <w:uiPriority w:val="39"/>
    <w:rsid w:val="002936D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14F9A"/>
    <w:rPr>
      <w:color w:val="0000FF" w:themeColor="hyperlink"/>
      <w:u w:val="single"/>
    </w:rPr>
  </w:style>
  <w:style w:type="character" w:customStyle="1" w:styleId="10">
    <w:name w:val="Неразрешенное упоминание1"/>
    <w:basedOn w:val="a0"/>
    <w:uiPriority w:val="99"/>
    <w:semiHidden/>
    <w:unhideWhenUsed/>
    <w:rsid w:val="00A14F9A"/>
    <w:rPr>
      <w:color w:val="605E5C"/>
      <w:shd w:val="clear" w:color="auto" w:fill="E1DFDD"/>
    </w:rPr>
  </w:style>
  <w:style w:type="character" w:styleId="a7">
    <w:name w:val="FollowedHyperlink"/>
    <w:basedOn w:val="a0"/>
    <w:uiPriority w:val="99"/>
    <w:semiHidden/>
    <w:unhideWhenUsed/>
    <w:rsid w:val="00A14F9A"/>
    <w:rPr>
      <w:color w:val="800080" w:themeColor="followedHyperlink"/>
      <w:u w:val="single"/>
    </w:rPr>
  </w:style>
  <w:style w:type="paragraph" w:styleId="a8">
    <w:name w:val="Normal (Web)"/>
    <w:basedOn w:val="a"/>
    <w:uiPriority w:val="99"/>
    <w:semiHidden/>
    <w:unhideWhenUsed/>
    <w:rsid w:val="00E77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Неразрешенное упоминание2"/>
    <w:basedOn w:val="a0"/>
    <w:uiPriority w:val="99"/>
    <w:semiHidden/>
    <w:unhideWhenUsed/>
    <w:rsid w:val="00C70E5F"/>
    <w:rPr>
      <w:color w:val="605E5C"/>
      <w:shd w:val="clear" w:color="auto" w:fill="E1DFDD"/>
    </w:rPr>
  </w:style>
  <w:style w:type="paragraph" w:styleId="a9">
    <w:name w:val="footnote text"/>
    <w:basedOn w:val="a"/>
    <w:link w:val="aa"/>
    <w:semiHidden/>
    <w:rsid w:val="00533B11"/>
    <w:pPr>
      <w:spacing w:after="0" w:line="240" w:lineRule="auto"/>
    </w:pPr>
    <w:rPr>
      <w:rFonts w:ascii="Times New Roman" w:eastAsia="Times New Roman" w:hAnsi="Times New Roman" w:cs="Times New Roman"/>
      <w:sz w:val="20"/>
      <w:szCs w:val="20"/>
      <w:lang w:eastAsia="x-none"/>
    </w:rPr>
  </w:style>
  <w:style w:type="character" w:customStyle="1" w:styleId="aa">
    <w:name w:val="Текст сноски Знак"/>
    <w:basedOn w:val="a0"/>
    <w:link w:val="a9"/>
    <w:semiHidden/>
    <w:rsid w:val="00533B11"/>
    <w:rPr>
      <w:rFonts w:ascii="Times New Roman" w:eastAsia="Times New Roman" w:hAnsi="Times New Roman" w:cs="Times New Roman"/>
      <w:sz w:val="20"/>
      <w:szCs w:val="20"/>
      <w:lang w:eastAsia="x-none"/>
    </w:rPr>
  </w:style>
  <w:style w:type="character" w:styleId="ab">
    <w:name w:val="footnote reference"/>
    <w:semiHidden/>
    <w:rsid w:val="00533B11"/>
    <w:rPr>
      <w:vertAlign w:val="superscript"/>
    </w:rPr>
  </w:style>
  <w:style w:type="paragraph" w:styleId="ac">
    <w:name w:val="Body Text Indent"/>
    <w:basedOn w:val="a"/>
    <w:link w:val="ad"/>
    <w:uiPriority w:val="99"/>
    <w:unhideWhenUsed/>
    <w:rsid w:val="00533B11"/>
    <w:pPr>
      <w:spacing w:after="120"/>
      <w:ind w:left="283"/>
    </w:pPr>
    <w:rPr>
      <w:rFonts w:cs="Times New Roman"/>
      <w:lang w:eastAsia="en-US"/>
    </w:rPr>
  </w:style>
  <w:style w:type="character" w:customStyle="1" w:styleId="ad">
    <w:name w:val="Основной текст с отступом Знак"/>
    <w:basedOn w:val="a0"/>
    <w:link w:val="ac"/>
    <w:uiPriority w:val="99"/>
    <w:rsid w:val="00533B11"/>
    <w:rPr>
      <w:rFonts w:ascii="Calibri" w:eastAsia="Calibri" w:hAnsi="Calibri" w:cs="Times New Roman"/>
      <w:lang w:eastAsia="en-US"/>
    </w:rPr>
  </w:style>
  <w:style w:type="paragraph" w:styleId="ae">
    <w:name w:val="Balloon Text"/>
    <w:basedOn w:val="a"/>
    <w:link w:val="af"/>
    <w:uiPriority w:val="99"/>
    <w:semiHidden/>
    <w:unhideWhenUsed/>
    <w:rsid w:val="00533B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3B11"/>
    <w:rPr>
      <w:rFonts w:ascii="Tahoma" w:hAnsi="Tahoma" w:cs="Tahoma"/>
      <w:sz w:val="16"/>
      <w:szCs w:val="16"/>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pPr>
      <w:spacing w:after="0" w:line="240" w:lineRule="auto"/>
      <w:jc w:val="both"/>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erence.mbc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SRm9eQ8qirBfwnGAL9Vb0kkkA==">AMUW2mVi2FfgbepCgRALBwaX0/ImzX6L2d4+85tlHi49qHGtgXzC4el1jr9snvd+UskGeU77cvGKdcKH9J6eFkVeDbZi5fOxi+mr+W75w1gCc6htLs+/krlTIIi8u7vUDUqdtdxwatSp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1175</Words>
  <Characters>6698</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dc:creator>
  <cp:lastModifiedBy>Lenova</cp:lastModifiedBy>
  <cp:revision>2</cp:revision>
  <dcterms:created xsi:type="dcterms:W3CDTF">2022-02-07T07:33:00Z</dcterms:created>
  <dcterms:modified xsi:type="dcterms:W3CDTF">2022-04-19T18:08:00Z</dcterms:modified>
</cp:coreProperties>
</file>